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E8F" w:rsidRPr="00000E8F" w:rsidRDefault="005B5CC6" w:rsidP="00000E8F">
      <w:pPr>
        <w:widowControl w:val="0"/>
        <w:adjustRightInd/>
        <w:snapToGrid/>
        <w:spacing w:after="0" w:line="580" w:lineRule="exact"/>
        <w:ind w:firstLine="560"/>
        <w:jc w:val="center"/>
        <w:rPr>
          <w:rFonts w:ascii="创艺简标宋" w:eastAsia="创艺简标宋" w:hAnsi="仿宋" w:cs="Times New Roman"/>
          <w:b/>
          <w:bCs/>
          <w:kern w:val="2"/>
          <w:sz w:val="44"/>
          <w:szCs w:val="44"/>
        </w:rPr>
      </w:pPr>
      <w:r w:rsidRPr="00000E8F">
        <w:rPr>
          <w:rFonts w:ascii="创艺简标宋" w:eastAsia="创艺简标宋" w:hAnsi="仿宋" w:cs="Times New Roman" w:hint="eastAsia"/>
          <w:b/>
          <w:bCs/>
          <w:kern w:val="2"/>
          <w:sz w:val="44"/>
          <w:szCs w:val="44"/>
        </w:rPr>
        <w:t>惠州市大亚湾区国有建设用地使用权</w:t>
      </w:r>
    </w:p>
    <w:p w:rsidR="005B5CC6" w:rsidRPr="00000E8F" w:rsidRDefault="005B5CC6" w:rsidP="00000E8F">
      <w:pPr>
        <w:widowControl w:val="0"/>
        <w:adjustRightInd/>
        <w:snapToGrid/>
        <w:spacing w:after="0" w:line="580" w:lineRule="exact"/>
        <w:ind w:firstLine="560"/>
        <w:jc w:val="center"/>
        <w:rPr>
          <w:rFonts w:ascii="创艺简标宋" w:eastAsia="创艺简标宋" w:hAnsi="仿宋" w:cs="Times New Roman"/>
          <w:kern w:val="2"/>
          <w:sz w:val="44"/>
          <w:szCs w:val="44"/>
        </w:rPr>
      </w:pPr>
      <w:r w:rsidRPr="00000E8F">
        <w:rPr>
          <w:rFonts w:ascii="创艺简标宋" w:eastAsia="创艺简标宋" w:hAnsi="仿宋" w:cs="Times New Roman" w:hint="eastAsia"/>
          <w:b/>
          <w:bCs/>
          <w:kern w:val="2"/>
          <w:sz w:val="44"/>
          <w:szCs w:val="44"/>
        </w:rPr>
        <w:t>网上挂牌转让须知</w:t>
      </w:r>
    </w:p>
    <w:p w:rsidR="005B5CC6" w:rsidRPr="00000E8F" w:rsidRDefault="005B5CC6" w:rsidP="00000E8F">
      <w:pPr>
        <w:widowControl w:val="0"/>
        <w:adjustRightInd/>
        <w:snapToGrid/>
        <w:spacing w:after="0" w:line="580" w:lineRule="exact"/>
        <w:ind w:firstLine="560"/>
        <w:jc w:val="center"/>
        <w:rPr>
          <w:rFonts w:ascii="仿宋" w:eastAsia="仿宋" w:hAnsi="仿宋" w:cs="Times New Roman"/>
          <w:bCs/>
          <w:kern w:val="2"/>
          <w:sz w:val="32"/>
          <w:szCs w:val="32"/>
        </w:rPr>
      </w:pPr>
      <w:r w:rsidRPr="00000E8F">
        <w:rPr>
          <w:rFonts w:ascii="仿宋" w:eastAsia="仿宋" w:hAnsi="仿宋" w:cs="Times New Roman" w:hint="eastAsia"/>
          <w:bCs/>
          <w:kern w:val="2"/>
          <w:sz w:val="32"/>
          <w:szCs w:val="32"/>
        </w:rPr>
        <w:t>惠公易土大亚湾 [202</w:t>
      </w:r>
      <w:r w:rsidR="00000E8F" w:rsidRPr="00000E8F">
        <w:rPr>
          <w:rFonts w:ascii="仿宋" w:eastAsia="仿宋" w:hAnsi="仿宋" w:cs="Times New Roman" w:hint="eastAsia"/>
          <w:bCs/>
          <w:kern w:val="2"/>
          <w:sz w:val="32"/>
          <w:szCs w:val="32"/>
        </w:rPr>
        <w:t>2</w:t>
      </w:r>
      <w:r w:rsidRPr="00000E8F">
        <w:rPr>
          <w:rFonts w:ascii="仿宋" w:eastAsia="仿宋" w:hAnsi="仿宋" w:cs="Times New Roman" w:hint="eastAsia"/>
          <w:bCs/>
          <w:kern w:val="2"/>
          <w:sz w:val="32"/>
          <w:szCs w:val="32"/>
        </w:rPr>
        <w:t xml:space="preserve">] </w:t>
      </w:r>
      <w:r w:rsidR="00000E8F" w:rsidRPr="00000E8F">
        <w:rPr>
          <w:rFonts w:ascii="仿宋" w:eastAsia="仿宋" w:hAnsi="仿宋" w:cs="Times New Roman" w:hint="eastAsia"/>
          <w:bCs/>
          <w:kern w:val="2"/>
          <w:sz w:val="32"/>
          <w:szCs w:val="32"/>
        </w:rPr>
        <w:t>006</w:t>
      </w:r>
      <w:r w:rsidRPr="00000E8F">
        <w:rPr>
          <w:rFonts w:ascii="仿宋" w:eastAsia="仿宋" w:hAnsi="仿宋" w:cs="Times New Roman" w:hint="eastAsia"/>
          <w:bCs/>
          <w:kern w:val="2"/>
          <w:sz w:val="32"/>
          <w:szCs w:val="32"/>
        </w:rPr>
        <w:t>号</w:t>
      </w:r>
    </w:p>
    <w:p w:rsidR="00000E8F" w:rsidRDefault="00000E8F" w:rsidP="00000E8F">
      <w:pPr>
        <w:widowControl w:val="0"/>
        <w:adjustRightInd/>
        <w:snapToGrid/>
        <w:spacing w:after="0" w:line="580" w:lineRule="exact"/>
        <w:ind w:firstLine="560"/>
        <w:jc w:val="both"/>
        <w:rPr>
          <w:rFonts w:ascii="仿宋" w:eastAsia="仿宋" w:hAnsi="仿宋" w:cs="Times New Roman"/>
          <w:kern w:val="2"/>
          <w:sz w:val="32"/>
          <w:szCs w:val="32"/>
        </w:rPr>
      </w:pPr>
    </w:p>
    <w:p w:rsidR="00000E8F" w:rsidRPr="00000E8F" w:rsidRDefault="005B5CC6" w:rsidP="00000E8F">
      <w:pPr>
        <w:widowControl w:val="0"/>
        <w:adjustRightInd/>
        <w:snapToGrid/>
        <w:spacing w:after="0" w:line="580" w:lineRule="exact"/>
        <w:ind w:firstLine="560"/>
        <w:jc w:val="both"/>
        <w:rPr>
          <w:rFonts w:ascii="仿宋" w:eastAsia="仿宋" w:hAnsi="仿宋" w:cs="Times New Roman"/>
          <w:kern w:val="2"/>
          <w:sz w:val="32"/>
          <w:szCs w:val="32"/>
        </w:rPr>
      </w:pPr>
      <w:r w:rsidRPr="00000E8F">
        <w:rPr>
          <w:rFonts w:ascii="仿宋" w:eastAsia="仿宋" w:hAnsi="仿宋" w:cs="Times New Roman" w:hint="eastAsia"/>
          <w:kern w:val="2"/>
          <w:sz w:val="32"/>
          <w:szCs w:val="32"/>
        </w:rPr>
        <w:t>根据《广东省土地使用权交易市场管理规定》、《惠州市国有建设用地使用权和矿业权电子挂牌交易规则》等规定，我中心对以下国有建设用地使用权实行网上挂牌转让，现就有关事项公告如下：</w:t>
      </w:r>
    </w:p>
    <w:p w:rsidR="005B5CC6" w:rsidRPr="00000E8F" w:rsidRDefault="005B5CC6" w:rsidP="00000E8F">
      <w:pPr>
        <w:widowControl w:val="0"/>
        <w:adjustRightInd/>
        <w:snapToGrid/>
        <w:spacing w:after="0" w:line="580" w:lineRule="exact"/>
        <w:ind w:firstLine="560"/>
        <w:jc w:val="both"/>
        <w:rPr>
          <w:rFonts w:ascii="仿宋" w:eastAsia="仿宋" w:hAnsi="仿宋" w:cs="Times New Roman"/>
          <w:kern w:val="2"/>
          <w:sz w:val="32"/>
          <w:szCs w:val="32"/>
        </w:rPr>
      </w:pPr>
      <w:r w:rsidRPr="00000E8F">
        <w:rPr>
          <w:rFonts w:ascii="仿宋" w:eastAsia="仿宋" w:hAnsi="仿宋" w:cs="Times New Roman" w:hint="eastAsia"/>
          <w:kern w:val="2"/>
          <w:sz w:val="32"/>
          <w:szCs w:val="32"/>
        </w:rPr>
        <w:t>一、本次国有建设用地使用权网上挂牌转让的转让人为有关单位，具体组织实施由惠州市公共资源交易中心大亚湾分中心承办。</w:t>
      </w:r>
    </w:p>
    <w:p w:rsidR="005B5CC6" w:rsidRPr="00D91A72" w:rsidRDefault="005B5CC6" w:rsidP="00000E8F">
      <w:pPr>
        <w:widowControl w:val="0"/>
        <w:adjustRightInd/>
        <w:snapToGrid/>
        <w:spacing w:after="0" w:line="580" w:lineRule="exact"/>
        <w:ind w:firstLine="560"/>
        <w:jc w:val="both"/>
        <w:rPr>
          <w:rFonts w:ascii="仿宋" w:eastAsia="仿宋" w:hAnsi="仿宋" w:cs="Times New Roman"/>
          <w:kern w:val="2"/>
          <w:sz w:val="32"/>
          <w:szCs w:val="32"/>
        </w:rPr>
      </w:pPr>
      <w:r w:rsidRPr="00000E8F">
        <w:rPr>
          <w:rFonts w:ascii="仿宋" w:eastAsia="仿宋" w:hAnsi="仿宋" w:cs="Times New Roman" w:hint="eastAsia"/>
          <w:kern w:val="2"/>
          <w:sz w:val="32"/>
          <w:szCs w:val="32"/>
        </w:rPr>
        <w:t>二、本次国有建设用地使用权网上挂牌转让遵循公开、公平、</w:t>
      </w:r>
      <w:r w:rsidRPr="00D91A72">
        <w:rPr>
          <w:rFonts w:ascii="仿宋" w:eastAsia="仿宋" w:hAnsi="仿宋" w:cs="Times New Roman" w:hint="eastAsia"/>
          <w:kern w:val="2"/>
          <w:sz w:val="32"/>
          <w:szCs w:val="32"/>
        </w:rPr>
        <w:t>公正和诚实信用原则。</w:t>
      </w:r>
    </w:p>
    <w:p w:rsidR="00000E8F" w:rsidRDefault="00000E8F" w:rsidP="00000E8F">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三、</w:t>
      </w:r>
      <w:r w:rsidR="00B06B38">
        <w:rPr>
          <w:rFonts w:ascii="仿宋" w:eastAsia="仿宋" w:hAnsi="仿宋" w:cs="Times New Roman" w:hint="eastAsia"/>
          <w:kern w:val="2"/>
          <w:sz w:val="32"/>
          <w:szCs w:val="32"/>
        </w:rPr>
        <w:t>主要交易信息</w:t>
      </w:r>
    </w:p>
    <w:p w:rsidR="005B5CC6" w:rsidRPr="00000E8F" w:rsidRDefault="00000E8F" w:rsidP="00000E8F">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（一）</w:t>
      </w:r>
      <w:r w:rsidR="005B5CC6" w:rsidRPr="00000E8F">
        <w:rPr>
          <w:rFonts w:ascii="仿宋" w:eastAsia="仿宋" w:hAnsi="仿宋" w:cs="Times New Roman" w:hint="eastAsia"/>
          <w:kern w:val="2"/>
          <w:sz w:val="32"/>
          <w:szCs w:val="32"/>
        </w:rPr>
        <w:t>宗地概括：</w:t>
      </w:r>
      <w:r w:rsidR="00AA3296">
        <w:rPr>
          <w:rFonts w:ascii="仿宋" w:eastAsia="仿宋" w:hAnsi="仿宋" w:cs="Times New Roman" w:hint="eastAsia"/>
          <w:kern w:val="2"/>
          <w:sz w:val="32"/>
          <w:szCs w:val="32"/>
        </w:rPr>
        <w:t>位于西区荷茶地段，其他</w:t>
      </w:r>
      <w:r w:rsidRPr="00B3175F">
        <w:rPr>
          <w:rFonts w:ascii="仿宋" w:eastAsia="仿宋" w:hAnsi="仿宋" w:cs="Times New Roman" w:hint="eastAsia"/>
          <w:kern w:val="2"/>
          <w:sz w:val="32"/>
          <w:szCs w:val="32"/>
        </w:rPr>
        <w:t>商服用地、城镇住宅用地，面积5000平方米，使用年限：2020年5月25日起至2090年5月24日止。</w:t>
      </w:r>
    </w:p>
    <w:p w:rsidR="00000E8F" w:rsidRDefault="00000E8F" w:rsidP="00000E8F">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（二）</w:t>
      </w:r>
      <w:r w:rsidR="005B5CC6" w:rsidRPr="00000E8F">
        <w:rPr>
          <w:rFonts w:ascii="仿宋" w:eastAsia="仿宋" w:hAnsi="仿宋" w:cs="Times New Roman" w:hint="eastAsia"/>
          <w:kern w:val="2"/>
          <w:sz w:val="32"/>
          <w:szCs w:val="32"/>
        </w:rPr>
        <w:t>上述用地的规划设计指标要求：</w:t>
      </w:r>
      <w:r w:rsidRPr="00B3175F">
        <w:rPr>
          <w:rFonts w:ascii="仿宋" w:eastAsia="仿宋" w:hAnsi="仿宋" w:cs="Times New Roman" w:hint="eastAsia"/>
          <w:kern w:val="2"/>
          <w:sz w:val="32"/>
          <w:szCs w:val="32"/>
        </w:rPr>
        <w:t>用地面积5000平方米，计算指标用地面积5000平方米，容积率≤3.0（商业建筑面积≤20%），建筑密度≤30%，绿地率≥30%。详见挂牌文件。</w:t>
      </w:r>
    </w:p>
    <w:p w:rsidR="005B5CC6" w:rsidRPr="00000E8F" w:rsidRDefault="00000E8F" w:rsidP="00000E8F">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（三）</w:t>
      </w:r>
      <w:r w:rsidR="005B5CC6" w:rsidRPr="00000E8F">
        <w:rPr>
          <w:rFonts w:ascii="仿宋" w:eastAsia="仿宋" w:hAnsi="仿宋" w:cs="Times New Roman" w:hint="eastAsia"/>
          <w:kern w:val="2"/>
          <w:sz w:val="32"/>
          <w:szCs w:val="32"/>
        </w:rPr>
        <w:t>挂牌起始价：</w:t>
      </w:r>
      <w:r w:rsidRPr="00B3175F">
        <w:rPr>
          <w:rFonts w:ascii="仿宋" w:eastAsia="仿宋" w:hAnsi="仿宋" w:cs="Times New Roman" w:hint="eastAsia"/>
          <w:kern w:val="2"/>
          <w:sz w:val="32"/>
          <w:szCs w:val="32"/>
        </w:rPr>
        <w:t>人民币捌仟贰佰捌拾玖万元整（￥:82890000.00元）；竞买保证金：人民币叁仟万元整（￥:30000000.00</w:t>
      </w:r>
      <w:r w:rsidR="00CC12A7" w:rsidRPr="00B3175F">
        <w:rPr>
          <w:rFonts w:ascii="仿宋" w:eastAsia="仿宋" w:hAnsi="仿宋" w:cs="Times New Roman" w:hint="eastAsia"/>
          <w:kern w:val="2"/>
          <w:sz w:val="32"/>
          <w:szCs w:val="32"/>
        </w:rPr>
        <w:t>元</w:t>
      </w:r>
      <w:r w:rsidRPr="00B3175F">
        <w:rPr>
          <w:rFonts w:ascii="仿宋" w:eastAsia="仿宋" w:hAnsi="仿宋" w:cs="Times New Roman" w:hint="eastAsia"/>
          <w:kern w:val="2"/>
          <w:sz w:val="32"/>
          <w:szCs w:val="32"/>
        </w:rPr>
        <w:t>）；增价幅度：每次报价的最小加价幅</w:t>
      </w:r>
      <w:r w:rsidRPr="00B3175F">
        <w:rPr>
          <w:rFonts w:ascii="仿宋" w:eastAsia="仿宋" w:hAnsi="仿宋" w:cs="Times New Roman" w:hint="eastAsia"/>
          <w:kern w:val="2"/>
          <w:sz w:val="32"/>
          <w:szCs w:val="32"/>
        </w:rPr>
        <w:lastRenderedPageBreak/>
        <w:t>度是人民币</w:t>
      </w:r>
      <w:r w:rsidR="00CC12A7">
        <w:rPr>
          <w:rFonts w:ascii="仿宋" w:eastAsia="仿宋" w:hAnsi="仿宋" w:cs="Times New Roman" w:hint="eastAsia"/>
          <w:kern w:val="2"/>
          <w:sz w:val="32"/>
          <w:szCs w:val="32"/>
        </w:rPr>
        <w:t>伍拾</w:t>
      </w:r>
      <w:r w:rsidRPr="00B3175F">
        <w:rPr>
          <w:rFonts w:ascii="仿宋" w:eastAsia="仿宋" w:hAnsi="仿宋" w:cs="Times New Roman" w:hint="eastAsia"/>
          <w:kern w:val="2"/>
          <w:sz w:val="32"/>
          <w:szCs w:val="32"/>
        </w:rPr>
        <w:t>万元</w:t>
      </w:r>
      <w:r w:rsidR="00CC12A7">
        <w:rPr>
          <w:rFonts w:ascii="仿宋" w:eastAsia="仿宋" w:hAnsi="仿宋" w:cs="Times New Roman" w:hint="eastAsia"/>
          <w:kern w:val="2"/>
          <w:sz w:val="32"/>
          <w:szCs w:val="32"/>
        </w:rPr>
        <w:t>整（</w:t>
      </w:r>
      <w:r w:rsidR="00CC12A7" w:rsidRPr="00B3175F">
        <w:rPr>
          <w:rFonts w:ascii="仿宋" w:eastAsia="仿宋" w:hAnsi="仿宋" w:cs="Times New Roman" w:hint="eastAsia"/>
          <w:kern w:val="2"/>
          <w:sz w:val="32"/>
          <w:szCs w:val="32"/>
        </w:rPr>
        <w:t>￥:</w:t>
      </w:r>
      <w:r w:rsidR="00CC12A7">
        <w:rPr>
          <w:rFonts w:ascii="仿宋" w:eastAsia="仿宋" w:hAnsi="仿宋" w:cs="Times New Roman" w:hint="eastAsia"/>
          <w:kern w:val="2"/>
          <w:sz w:val="32"/>
          <w:szCs w:val="32"/>
        </w:rPr>
        <w:t>5</w:t>
      </w:r>
      <w:r w:rsidR="00CC12A7" w:rsidRPr="00B3175F">
        <w:rPr>
          <w:rFonts w:ascii="仿宋" w:eastAsia="仿宋" w:hAnsi="仿宋" w:cs="Times New Roman" w:hint="eastAsia"/>
          <w:kern w:val="2"/>
          <w:sz w:val="32"/>
          <w:szCs w:val="32"/>
        </w:rPr>
        <w:t>0.00</w:t>
      </w:r>
      <w:r w:rsidR="00BE1C6B">
        <w:rPr>
          <w:rFonts w:ascii="仿宋" w:eastAsia="仿宋" w:hAnsi="仿宋" w:cs="Times New Roman" w:hint="eastAsia"/>
          <w:kern w:val="2"/>
          <w:sz w:val="32"/>
          <w:szCs w:val="32"/>
        </w:rPr>
        <w:t>万</w:t>
      </w:r>
      <w:r w:rsidR="00CC12A7" w:rsidRPr="00B3175F">
        <w:rPr>
          <w:rFonts w:ascii="仿宋" w:eastAsia="仿宋" w:hAnsi="仿宋" w:cs="Times New Roman" w:hint="eastAsia"/>
          <w:kern w:val="2"/>
          <w:sz w:val="32"/>
          <w:szCs w:val="32"/>
        </w:rPr>
        <w:t>元</w:t>
      </w:r>
      <w:r w:rsidR="00CC12A7">
        <w:rPr>
          <w:rFonts w:ascii="仿宋" w:eastAsia="仿宋" w:hAnsi="仿宋" w:cs="Times New Roman" w:hint="eastAsia"/>
          <w:kern w:val="2"/>
          <w:sz w:val="32"/>
          <w:szCs w:val="32"/>
        </w:rPr>
        <w:t>）</w:t>
      </w:r>
      <w:r w:rsidRPr="00B3175F">
        <w:rPr>
          <w:rFonts w:ascii="仿宋" w:eastAsia="仿宋" w:hAnsi="仿宋" w:cs="Times New Roman" w:hint="eastAsia"/>
          <w:kern w:val="2"/>
          <w:sz w:val="32"/>
          <w:szCs w:val="32"/>
        </w:rPr>
        <w:t>。</w:t>
      </w:r>
    </w:p>
    <w:p w:rsidR="001C62E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000E8F">
        <w:rPr>
          <w:rFonts w:ascii="仿宋" w:eastAsia="仿宋" w:hAnsi="仿宋" w:cs="Times New Roman" w:hint="eastAsia"/>
          <w:kern w:val="2"/>
          <w:sz w:val="32"/>
          <w:szCs w:val="32"/>
        </w:rPr>
        <w:t>（四）根据委托方说明：</w:t>
      </w:r>
      <w:r w:rsidR="001C62E8" w:rsidRPr="00AA19D9">
        <w:rPr>
          <w:rFonts w:ascii="仿宋" w:eastAsia="仿宋" w:hAnsi="仿宋" w:cs="Times New Roman" w:hint="eastAsia"/>
          <w:kern w:val="2"/>
          <w:sz w:val="32"/>
          <w:szCs w:val="32"/>
        </w:rPr>
        <w:t>1、上述土地按现状转让,</w:t>
      </w:r>
      <w:r w:rsidR="001C62E8">
        <w:rPr>
          <w:rFonts w:ascii="仿宋" w:eastAsia="仿宋" w:hAnsi="仿宋" w:cs="Times New Roman" w:hint="eastAsia"/>
          <w:kern w:val="2"/>
          <w:sz w:val="32"/>
          <w:szCs w:val="32"/>
        </w:rPr>
        <w:t>地上附着物，包括青苗、果树及其他建筑物、构筑物的拆迁、青苗不畅、土地平整清表等工作</w:t>
      </w:r>
      <w:r w:rsidR="001C62E8" w:rsidRPr="00AA19D9">
        <w:rPr>
          <w:rFonts w:ascii="仿宋" w:eastAsia="仿宋" w:hAnsi="仿宋" w:cs="Times New Roman" w:hint="eastAsia"/>
          <w:kern w:val="2"/>
          <w:sz w:val="32"/>
          <w:szCs w:val="32"/>
        </w:rPr>
        <w:t>由</w:t>
      </w:r>
      <w:r w:rsidR="001C62E8">
        <w:rPr>
          <w:rFonts w:ascii="仿宋" w:eastAsia="仿宋" w:hAnsi="仿宋" w:cs="Times New Roman" w:hint="eastAsia"/>
          <w:kern w:val="2"/>
          <w:sz w:val="32"/>
          <w:szCs w:val="32"/>
        </w:rPr>
        <w:t>委托方</w:t>
      </w:r>
      <w:r w:rsidR="001C62E8" w:rsidRPr="00AA19D9">
        <w:rPr>
          <w:rFonts w:ascii="仿宋" w:eastAsia="仿宋" w:hAnsi="仿宋" w:cs="Times New Roman" w:hint="eastAsia"/>
          <w:kern w:val="2"/>
          <w:sz w:val="32"/>
          <w:szCs w:val="32"/>
        </w:rPr>
        <w:t>负责，竞得方配合。</w:t>
      </w:r>
      <w:r w:rsidR="001C62E8" w:rsidRPr="00B3175F">
        <w:rPr>
          <w:rFonts w:ascii="仿宋" w:eastAsia="仿宋" w:hAnsi="仿宋" w:cs="Times New Roman" w:hint="eastAsia"/>
          <w:kern w:val="2"/>
          <w:sz w:val="32"/>
          <w:szCs w:val="32"/>
        </w:rPr>
        <w:t>2、土地过户所产生的税费等费用由竞得方承担</w:t>
      </w:r>
      <w:r w:rsidR="001C62E8">
        <w:rPr>
          <w:rFonts w:ascii="仿宋" w:eastAsia="仿宋" w:hAnsi="仿宋" w:cs="Times New Roman" w:hint="eastAsia"/>
          <w:kern w:val="2"/>
          <w:sz w:val="32"/>
          <w:szCs w:val="32"/>
        </w:rPr>
        <w:t>。</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四、按委托方要求对上述用地挂牌转让，寻求合作开发商住项目，就合作相关事宜作以下说明：</w:t>
      </w:r>
    </w:p>
    <w:p w:rsidR="000E1912" w:rsidRPr="000E1912" w:rsidRDefault="000E1912" w:rsidP="000E1912">
      <w:pPr>
        <w:widowControl w:val="0"/>
        <w:adjustRightInd/>
        <w:snapToGrid/>
        <w:spacing w:after="0" w:line="580" w:lineRule="exact"/>
        <w:ind w:firstLine="560"/>
        <w:jc w:val="both"/>
        <w:rPr>
          <w:rFonts w:ascii="仿宋" w:eastAsia="仿宋" w:hAnsi="仿宋" w:cs="Times New Roman"/>
          <w:kern w:val="2"/>
          <w:sz w:val="32"/>
          <w:szCs w:val="32"/>
        </w:rPr>
      </w:pPr>
      <w:r w:rsidRPr="000E1912">
        <w:rPr>
          <w:rFonts w:ascii="仿宋" w:eastAsia="仿宋" w:hAnsi="仿宋" w:cs="Times New Roman" w:hint="eastAsia"/>
          <w:kern w:val="2"/>
          <w:sz w:val="32"/>
          <w:szCs w:val="32"/>
        </w:rPr>
        <w:t>（一）</w:t>
      </w:r>
      <w:r w:rsidR="00BB76F3" w:rsidRPr="000E1912">
        <w:rPr>
          <w:rFonts w:ascii="仿宋" w:eastAsia="仿宋" w:hAnsi="仿宋" w:cs="Times New Roman" w:hint="eastAsia"/>
          <w:kern w:val="2"/>
          <w:sz w:val="32"/>
          <w:szCs w:val="32"/>
        </w:rPr>
        <w:t>竞得人负责提供整个合作项目的开发资金及协理相关手续的费用，并以组织设计、开发、经营管理为条件与委托方合作。</w:t>
      </w:r>
      <w:r w:rsidRPr="000E1912">
        <w:rPr>
          <w:rFonts w:ascii="仿宋" w:eastAsia="仿宋" w:hAnsi="仿宋" w:cs="Times New Roman" w:hint="eastAsia"/>
          <w:kern w:val="2"/>
          <w:sz w:val="32"/>
          <w:szCs w:val="32"/>
        </w:rPr>
        <w:t>项目建成后，</w:t>
      </w:r>
      <w:r w:rsidR="00BB76F3" w:rsidRPr="000E1912">
        <w:rPr>
          <w:rFonts w:ascii="仿宋" w:eastAsia="仿宋" w:hAnsi="仿宋" w:cs="Times New Roman" w:hint="eastAsia"/>
          <w:kern w:val="2"/>
          <w:sz w:val="32"/>
          <w:szCs w:val="32"/>
        </w:rPr>
        <w:t>竞得人必须同意按照整个项目总建筑面积20%:80%的比例分成，即委托方分得整个项目总建筑面积20%的物业，竞得人分得整个项目的总建筑面积80%的物业。</w:t>
      </w:r>
      <w:r w:rsidRPr="000E1912">
        <w:rPr>
          <w:rFonts w:ascii="仿宋" w:eastAsia="仿宋" w:hAnsi="仿宋" w:cs="Times New Roman" w:hint="eastAsia"/>
          <w:kern w:val="2"/>
          <w:sz w:val="32"/>
          <w:szCs w:val="32"/>
        </w:rPr>
        <w:t>委托方</w:t>
      </w:r>
      <w:r w:rsidR="00BB76F3" w:rsidRPr="000E1912">
        <w:rPr>
          <w:rFonts w:ascii="仿宋" w:eastAsia="仿宋" w:hAnsi="仿宋" w:cs="Times New Roman" w:hint="eastAsia"/>
          <w:kern w:val="2"/>
          <w:sz w:val="32"/>
          <w:szCs w:val="32"/>
        </w:rPr>
        <w:t>参与项目管理，设计方案最终须由</w:t>
      </w:r>
      <w:r w:rsidRPr="000E1912">
        <w:rPr>
          <w:rFonts w:ascii="仿宋" w:eastAsia="仿宋" w:hAnsi="仿宋" w:cs="Times New Roman" w:hint="eastAsia"/>
          <w:kern w:val="2"/>
          <w:sz w:val="32"/>
          <w:szCs w:val="32"/>
        </w:rPr>
        <w:t>委托方</w:t>
      </w:r>
      <w:r w:rsidR="00BB76F3" w:rsidRPr="000E1912">
        <w:rPr>
          <w:rFonts w:ascii="仿宋" w:eastAsia="仿宋" w:hAnsi="仿宋" w:cs="Times New Roman" w:hint="eastAsia"/>
          <w:kern w:val="2"/>
          <w:sz w:val="32"/>
          <w:szCs w:val="32"/>
        </w:rPr>
        <w:t>确定，另外</w:t>
      </w:r>
      <w:r w:rsidRPr="000E1912">
        <w:rPr>
          <w:rFonts w:ascii="仿宋" w:eastAsia="仿宋" w:hAnsi="仿宋" w:cs="Times New Roman" w:hint="eastAsia"/>
          <w:kern w:val="2"/>
          <w:sz w:val="32"/>
          <w:szCs w:val="32"/>
        </w:rPr>
        <w:t>委托方</w:t>
      </w:r>
      <w:r w:rsidR="00BB76F3" w:rsidRPr="000E1912">
        <w:rPr>
          <w:rFonts w:ascii="仿宋" w:eastAsia="仿宋" w:hAnsi="仿宋" w:cs="Times New Roman" w:hint="eastAsia"/>
          <w:kern w:val="2"/>
          <w:sz w:val="32"/>
          <w:szCs w:val="32"/>
        </w:rPr>
        <w:t>优先选择物业，具体位置按照物业垂直分配的方式（包括商铺、住宅和停车位）。</w:t>
      </w:r>
    </w:p>
    <w:p w:rsidR="000E1912" w:rsidRPr="000E1912" w:rsidRDefault="000E1912" w:rsidP="000E1912">
      <w:pPr>
        <w:widowControl w:val="0"/>
        <w:adjustRightInd/>
        <w:snapToGrid/>
        <w:spacing w:after="0" w:line="580" w:lineRule="exact"/>
        <w:ind w:firstLine="560"/>
        <w:jc w:val="both"/>
        <w:rPr>
          <w:rFonts w:ascii="仿宋" w:eastAsia="仿宋" w:hAnsi="仿宋" w:cs="Times New Roman"/>
          <w:kern w:val="2"/>
          <w:sz w:val="32"/>
          <w:szCs w:val="32"/>
        </w:rPr>
      </w:pPr>
      <w:r w:rsidRPr="000E1912">
        <w:rPr>
          <w:rFonts w:ascii="仿宋" w:eastAsia="仿宋" w:hAnsi="仿宋" w:cs="Times New Roman" w:hint="eastAsia"/>
          <w:kern w:val="2"/>
          <w:sz w:val="32"/>
          <w:szCs w:val="32"/>
        </w:rPr>
        <w:t>（二）由委托方出地、竞得人出资开发建设、双方共同合作开发该项目。竞得人的一切债务与委托方无关，包括竞得人方法人及其在其他公司担任法定代表人的公司一切债权债务与委托方无关。竞得人在合作项目开工建设施工过程中所造成一切工伤、事故、劳资纠纷委托方概不负责，但有义务协助处理。</w:t>
      </w:r>
    </w:p>
    <w:p w:rsidR="000E1912" w:rsidRPr="000E1912" w:rsidRDefault="000E1912" w:rsidP="000E1912">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（三）</w:t>
      </w:r>
      <w:r w:rsidRPr="000E1912">
        <w:rPr>
          <w:rFonts w:ascii="仿宋" w:eastAsia="仿宋" w:hAnsi="仿宋" w:cs="Times New Roman" w:hint="eastAsia"/>
          <w:kern w:val="2"/>
          <w:sz w:val="32"/>
          <w:szCs w:val="32"/>
        </w:rPr>
        <w:t>竞得人负责提供合作项目的全部开发资金及办理相关手续的费用，同时负责处理合作项目开工后与当地政府等部门的关系，积极配合委托方的工作。</w:t>
      </w:r>
    </w:p>
    <w:p w:rsidR="000E1912" w:rsidRPr="000E1912" w:rsidRDefault="000E1912" w:rsidP="000E1912">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lastRenderedPageBreak/>
        <w:t>（四）</w:t>
      </w:r>
      <w:r w:rsidRPr="000E1912">
        <w:rPr>
          <w:rFonts w:ascii="仿宋" w:eastAsia="仿宋" w:hAnsi="仿宋" w:cs="Times New Roman" w:hint="eastAsia"/>
          <w:kern w:val="2"/>
          <w:sz w:val="32"/>
          <w:szCs w:val="32"/>
        </w:rPr>
        <w:t>竞得人需在办理合作项目施工证之日起40个月内，交付委托方应分得物业，逾期则竞得人须按每月向委托方支付人民币壹拾万元（100000元）作为违约金，直至物业交付之日。若因政府原因导致项目无法推进，交付的物业则顺延。</w:t>
      </w:r>
    </w:p>
    <w:p w:rsidR="000E1912" w:rsidRPr="000E1912" w:rsidRDefault="000E1912" w:rsidP="000E1912">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（五）</w:t>
      </w:r>
      <w:r w:rsidRPr="000E1912">
        <w:rPr>
          <w:rFonts w:ascii="仿宋" w:eastAsia="仿宋" w:hAnsi="仿宋" w:cs="Times New Roman" w:hint="eastAsia"/>
          <w:kern w:val="2"/>
          <w:sz w:val="32"/>
          <w:szCs w:val="32"/>
        </w:rPr>
        <w:t>竞得人负责为委托方所分得的物业办理《不动产权证》手续。</w:t>
      </w:r>
    </w:p>
    <w:p w:rsidR="000E1912" w:rsidRPr="000E1912" w:rsidRDefault="000E1912" w:rsidP="000E1912">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（六）</w:t>
      </w:r>
      <w:r w:rsidRPr="000E1912">
        <w:rPr>
          <w:rFonts w:ascii="仿宋" w:eastAsia="仿宋" w:hAnsi="仿宋" w:cs="Times New Roman" w:hint="eastAsia"/>
          <w:kern w:val="2"/>
          <w:sz w:val="32"/>
          <w:szCs w:val="32"/>
        </w:rPr>
        <w:t>竞得人需在签订合同后5天内进场、清表和开始前期工作，如未能完成，则视为竞得人违约，委托方有权单方取消合作。</w:t>
      </w:r>
    </w:p>
    <w:p w:rsidR="000E1912" w:rsidRPr="000E1912" w:rsidRDefault="000E1912" w:rsidP="000E1912">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（七）</w:t>
      </w:r>
      <w:r w:rsidRPr="000E1912">
        <w:rPr>
          <w:rFonts w:ascii="仿宋" w:eastAsia="仿宋" w:hAnsi="仿宋" w:cs="Times New Roman" w:hint="eastAsia"/>
          <w:kern w:val="2"/>
          <w:sz w:val="32"/>
          <w:szCs w:val="32"/>
        </w:rPr>
        <w:t>合作开发方案正式签署后，如有未尽事宜，双方可另行协商解决，并签订补充协议。双方签订的补充协议与本合作协议具有同等法律效力。</w:t>
      </w:r>
    </w:p>
    <w:p w:rsidR="005B5CC6" w:rsidRPr="00B06B38" w:rsidRDefault="00B06B38"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（八）若挂牌成交价高于起始价，竞买成功后5日内，竞得人须将成交价减去起始价后的款项支付给</w:t>
      </w:r>
      <w:r w:rsidR="000E1912" w:rsidRPr="000E1912">
        <w:rPr>
          <w:rFonts w:ascii="仿宋" w:eastAsia="仿宋" w:hAnsi="仿宋" w:cs="Times New Roman" w:hint="eastAsia"/>
          <w:kern w:val="2"/>
          <w:sz w:val="32"/>
          <w:szCs w:val="32"/>
        </w:rPr>
        <w:t>委托方</w:t>
      </w:r>
      <w:r w:rsidRPr="00B06B38">
        <w:rPr>
          <w:rFonts w:ascii="仿宋" w:eastAsia="仿宋" w:hAnsi="仿宋" w:cs="Times New Roman" w:hint="eastAsia"/>
          <w:kern w:val="2"/>
          <w:sz w:val="32"/>
          <w:szCs w:val="32"/>
        </w:rPr>
        <w:t>，支付方式由</w:t>
      </w:r>
      <w:r w:rsidR="000E1912" w:rsidRPr="000E1912">
        <w:rPr>
          <w:rFonts w:ascii="仿宋" w:eastAsia="仿宋" w:hAnsi="仿宋" w:cs="Times New Roman" w:hint="eastAsia"/>
          <w:kern w:val="2"/>
          <w:sz w:val="32"/>
          <w:szCs w:val="32"/>
        </w:rPr>
        <w:t>委托方</w:t>
      </w:r>
      <w:r w:rsidRPr="00B06B38">
        <w:rPr>
          <w:rFonts w:ascii="仿宋" w:eastAsia="仿宋" w:hAnsi="仿宋" w:cs="Times New Roman" w:hint="eastAsia"/>
          <w:kern w:val="2"/>
          <w:sz w:val="32"/>
          <w:szCs w:val="32"/>
        </w:rPr>
        <w:t>与竞得人另行协商约定。</w:t>
      </w:r>
    </w:p>
    <w:p w:rsidR="005B5CC6" w:rsidRPr="000E1912" w:rsidRDefault="00B06B38" w:rsidP="000E1912">
      <w:pPr>
        <w:widowControl w:val="0"/>
        <w:adjustRightInd/>
        <w:snapToGrid/>
        <w:spacing w:after="0" w:line="580" w:lineRule="exact"/>
        <w:ind w:firstLine="560"/>
        <w:jc w:val="both"/>
        <w:rPr>
          <w:rFonts w:ascii="仿宋" w:eastAsia="仿宋" w:hAnsi="仿宋" w:cs="Times New Roman"/>
          <w:kern w:val="2"/>
          <w:sz w:val="32"/>
          <w:szCs w:val="32"/>
        </w:rPr>
      </w:pPr>
      <w:r w:rsidRPr="000E1912">
        <w:rPr>
          <w:rFonts w:ascii="仿宋" w:eastAsia="仿宋" w:hAnsi="仿宋" w:cs="Times New Roman" w:hint="eastAsia"/>
          <w:kern w:val="2"/>
          <w:sz w:val="32"/>
          <w:szCs w:val="32"/>
        </w:rPr>
        <w:t>（九）</w:t>
      </w:r>
      <w:r w:rsidR="005B5CC6" w:rsidRPr="000E1912">
        <w:rPr>
          <w:rFonts w:ascii="仿宋" w:eastAsia="仿宋" w:hAnsi="仿宋" w:cs="Times New Roman" w:hint="eastAsia"/>
          <w:kern w:val="2"/>
          <w:sz w:val="32"/>
          <w:szCs w:val="32"/>
        </w:rPr>
        <w:t>“合作开发协议”正式签署后，如有未尽事宜，双方可另行协商解决，并签订补充协议。双方签订的补充协议与本合作协议具有同等法律效力。</w:t>
      </w:r>
    </w:p>
    <w:p w:rsidR="005B5CC6" w:rsidRPr="00B06B38" w:rsidRDefault="000E1912" w:rsidP="00B06B38">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（十</w:t>
      </w:r>
      <w:r w:rsidR="00B06B38" w:rsidRPr="00B06B38">
        <w:rPr>
          <w:rFonts w:ascii="仿宋" w:eastAsia="仿宋" w:hAnsi="仿宋" w:cs="Times New Roman" w:hint="eastAsia"/>
          <w:kern w:val="2"/>
          <w:sz w:val="32"/>
          <w:szCs w:val="32"/>
        </w:rPr>
        <w:t>）</w:t>
      </w:r>
      <w:r w:rsidR="005B5CC6" w:rsidRPr="00B06B38">
        <w:rPr>
          <w:rFonts w:ascii="仿宋" w:eastAsia="仿宋" w:hAnsi="仿宋" w:cs="Times New Roman" w:hint="eastAsia"/>
          <w:kern w:val="2"/>
          <w:sz w:val="32"/>
          <w:szCs w:val="32"/>
        </w:rPr>
        <w:t>挂牌公告、文件所规定的其它条件。</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竞得人竞得该宗地后须自行与委托方协调合作及办理相关手续等具体事宜，本中心不另作处理，提请竞买人注意。</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五、申请和资格审查 </w:t>
      </w:r>
    </w:p>
    <w:p w:rsidR="005B5CC6" w:rsidRPr="00B06B38" w:rsidRDefault="00B06B38" w:rsidP="00B06B38">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（一）</w:t>
      </w:r>
      <w:r w:rsidR="005B5CC6" w:rsidRPr="00B06B38">
        <w:rPr>
          <w:rFonts w:ascii="仿宋" w:eastAsia="仿宋" w:hAnsi="仿宋" w:cs="Times New Roman" w:hint="eastAsia"/>
          <w:kern w:val="2"/>
          <w:sz w:val="32"/>
          <w:szCs w:val="32"/>
        </w:rPr>
        <w:t xml:space="preserve">挂牌相关文件取得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lastRenderedPageBreak/>
        <w:t>申请人可在网上挂牌交易系统浏览或下载相关网上挂牌转让文件。</w:t>
      </w:r>
    </w:p>
    <w:p w:rsidR="005B5CC6" w:rsidRPr="00B06B38" w:rsidRDefault="00B06B38" w:rsidP="00B06B38">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（二）</w:t>
      </w:r>
      <w:r w:rsidR="005B5CC6" w:rsidRPr="00B06B38">
        <w:rPr>
          <w:rFonts w:ascii="仿宋" w:eastAsia="仿宋" w:hAnsi="仿宋" w:cs="Times New Roman" w:hint="eastAsia"/>
          <w:kern w:val="2"/>
          <w:sz w:val="32"/>
          <w:szCs w:val="32"/>
        </w:rPr>
        <w:t xml:space="preserve">办理数字证书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办理数字证书是参加本次网上挂牌转让活动的必经程序，申请人应当携相关证件到广东省数字证书认证中心申请并办理好数字证书。 数字证书办理流程详见网上挂牌交易系统上的《数字证书申请指南》。 </w:t>
      </w:r>
    </w:p>
    <w:p w:rsidR="005B5CC6" w:rsidRPr="00B06B38" w:rsidRDefault="00B06B38" w:rsidP="00B06B38">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（三）</w:t>
      </w:r>
      <w:r w:rsidR="005B5CC6" w:rsidRPr="00B06B38">
        <w:rPr>
          <w:rFonts w:ascii="仿宋" w:eastAsia="仿宋" w:hAnsi="仿宋" w:cs="Times New Roman" w:hint="eastAsia"/>
          <w:kern w:val="2"/>
          <w:sz w:val="32"/>
          <w:szCs w:val="32"/>
        </w:rPr>
        <w:t xml:space="preserve">确认竞买人资格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办理好数字证书的申请人参加本次网上挂牌竞买的，应按网上挂牌交易要求填写真实有效的申请人身份等相关信息并向网上挂牌交易系统提交申请书。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申请人应根据网上挂牌交易系统生成的随机保证金帐号足额交纳竞买保证金。竞买保证金应以申请人的身份交纳，网上挂牌交易系统在接受竞买保证金时，仅以此随机保证金帐号作为识别竞买人身份的依据，并在竞买保证金确认到帐之后，赋予竞买人对应宗地的竞买权限，并生成《网上挂牌竞买人资格确认书》发送给竞买人。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六、答疑及现场踏勘</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申请人对网上挂牌转让文件有疑问的，可在网上挂牌活动开始前以书面或者口头方式向本中心咨询。有意竞买者可自行到地块现场踏勘（可在网上查阅红线图及相关照片）。</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七、本次网上挂牌转让活动有关时间具体如下：</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（一）网上挂牌起始时间：</w:t>
      </w:r>
      <w:r w:rsidRPr="00B06B38">
        <w:rPr>
          <w:rFonts w:ascii="仿宋" w:eastAsia="仿宋" w:hAnsi="仿宋" w:cs="Times New Roman" w:hint="eastAsia"/>
          <w:kern w:val="2"/>
          <w:sz w:val="32"/>
          <w:szCs w:val="32"/>
          <w:u w:val="single"/>
        </w:rPr>
        <w:t>202</w:t>
      </w:r>
      <w:r w:rsidR="00B06B38" w:rsidRPr="00B06B38">
        <w:rPr>
          <w:rFonts w:ascii="仿宋" w:eastAsia="仿宋" w:hAnsi="仿宋" w:cs="Times New Roman" w:hint="eastAsia"/>
          <w:kern w:val="2"/>
          <w:sz w:val="32"/>
          <w:szCs w:val="32"/>
          <w:u w:val="single"/>
        </w:rPr>
        <w:t>2</w:t>
      </w:r>
      <w:r w:rsidRPr="00B06B38">
        <w:rPr>
          <w:rFonts w:ascii="仿宋" w:eastAsia="仿宋" w:hAnsi="仿宋" w:cs="Times New Roman" w:hint="eastAsia"/>
          <w:kern w:val="2"/>
          <w:sz w:val="32"/>
          <w:szCs w:val="32"/>
          <w:u w:val="single"/>
        </w:rPr>
        <w:t>年</w:t>
      </w:r>
      <w:r w:rsidR="00B06B38" w:rsidRPr="00B06B38">
        <w:rPr>
          <w:rFonts w:ascii="仿宋" w:eastAsia="仿宋" w:hAnsi="仿宋" w:cs="Times New Roman" w:hint="eastAsia"/>
          <w:kern w:val="2"/>
          <w:sz w:val="32"/>
          <w:szCs w:val="32"/>
          <w:u w:val="single"/>
        </w:rPr>
        <w:t>0</w:t>
      </w:r>
      <w:r w:rsidR="00705B72">
        <w:rPr>
          <w:rFonts w:ascii="仿宋" w:eastAsia="仿宋" w:hAnsi="仿宋" w:cs="Times New Roman" w:hint="eastAsia"/>
          <w:kern w:val="2"/>
          <w:sz w:val="32"/>
          <w:szCs w:val="32"/>
          <w:u w:val="single"/>
        </w:rPr>
        <w:t>6</w:t>
      </w:r>
      <w:r w:rsidRPr="00B06B38">
        <w:rPr>
          <w:rFonts w:ascii="仿宋" w:eastAsia="仿宋" w:hAnsi="仿宋" w:cs="Times New Roman" w:hint="eastAsia"/>
          <w:kern w:val="2"/>
          <w:sz w:val="32"/>
          <w:szCs w:val="32"/>
          <w:u w:val="single"/>
        </w:rPr>
        <w:t>月</w:t>
      </w:r>
      <w:r w:rsidR="00705B72">
        <w:rPr>
          <w:rFonts w:ascii="仿宋" w:eastAsia="仿宋" w:hAnsi="仿宋" w:cs="Times New Roman" w:hint="eastAsia"/>
          <w:kern w:val="2"/>
          <w:sz w:val="32"/>
          <w:szCs w:val="32"/>
          <w:u w:val="single"/>
        </w:rPr>
        <w:t>01</w:t>
      </w:r>
      <w:r w:rsidRPr="00B06B38">
        <w:rPr>
          <w:rFonts w:ascii="仿宋" w:eastAsia="仿宋" w:hAnsi="仿宋" w:cs="Times New Roman" w:hint="eastAsia"/>
          <w:kern w:val="2"/>
          <w:sz w:val="32"/>
          <w:szCs w:val="32"/>
          <w:u w:val="single"/>
        </w:rPr>
        <w:t>日9时</w:t>
      </w:r>
      <w:r w:rsidRPr="00B06B38">
        <w:rPr>
          <w:rFonts w:ascii="仿宋" w:eastAsia="仿宋" w:hAnsi="仿宋" w:cs="Times New Roman" w:hint="eastAsia"/>
          <w:kern w:val="2"/>
          <w:sz w:val="32"/>
          <w:szCs w:val="32"/>
        </w:rPr>
        <w:t>。</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（二）网上挂牌截止时间：</w:t>
      </w:r>
      <w:r w:rsidR="00B06B38" w:rsidRPr="00B06B38">
        <w:rPr>
          <w:rFonts w:ascii="仿宋" w:eastAsia="仿宋" w:hAnsi="仿宋" w:cs="Times New Roman" w:hint="eastAsia"/>
          <w:kern w:val="2"/>
          <w:sz w:val="32"/>
          <w:szCs w:val="32"/>
          <w:u w:val="single"/>
        </w:rPr>
        <w:t>2022年0</w:t>
      </w:r>
      <w:r w:rsidR="00705B72">
        <w:rPr>
          <w:rFonts w:ascii="仿宋" w:eastAsia="仿宋" w:hAnsi="仿宋" w:cs="Times New Roman" w:hint="eastAsia"/>
          <w:kern w:val="2"/>
          <w:sz w:val="32"/>
          <w:szCs w:val="32"/>
          <w:u w:val="single"/>
        </w:rPr>
        <w:t>6</w:t>
      </w:r>
      <w:r w:rsidR="00B06B38" w:rsidRPr="00B06B38">
        <w:rPr>
          <w:rFonts w:ascii="仿宋" w:eastAsia="仿宋" w:hAnsi="仿宋" w:cs="Times New Roman" w:hint="eastAsia"/>
          <w:kern w:val="2"/>
          <w:sz w:val="32"/>
          <w:szCs w:val="32"/>
          <w:u w:val="single"/>
        </w:rPr>
        <w:t>月</w:t>
      </w:r>
      <w:r w:rsidR="00705B72">
        <w:rPr>
          <w:rFonts w:ascii="仿宋" w:eastAsia="仿宋" w:hAnsi="仿宋" w:cs="Times New Roman" w:hint="eastAsia"/>
          <w:kern w:val="2"/>
          <w:sz w:val="32"/>
          <w:szCs w:val="32"/>
          <w:u w:val="single"/>
        </w:rPr>
        <w:t>16</w:t>
      </w:r>
      <w:r w:rsidR="00B06B38" w:rsidRPr="00B06B38">
        <w:rPr>
          <w:rFonts w:ascii="仿宋" w:eastAsia="仿宋" w:hAnsi="仿宋" w:cs="Times New Roman" w:hint="eastAsia"/>
          <w:kern w:val="2"/>
          <w:sz w:val="32"/>
          <w:szCs w:val="32"/>
          <w:u w:val="single"/>
        </w:rPr>
        <w:t>日10时</w:t>
      </w:r>
      <w:r w:rsidRPr="00B06B38">
        <w:rPr>
          <w:rFonts w:ascii="仿宋" w:eastAsia="仿宋" w:hAnsi="仿宋" w:cs="Times New Roman" w:hint="eastAsia"/>
          <w:kern w:val="2"/>
          <w:sz w:val="32"/>
          <w:szCs w:val="32"/>
        </w:rPr>
        <w:t>。</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lastRenderedPageBreak/>
        <w:t>（三）网上挂牌报价时间：网上挂牌起止时间内。</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八、竞买保证金</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（一）竞买保证金是申请人参加网上挂牌交易活动的资格条件。按规定将竞买保证金汇入指定账户，是参加网上挂牌交易活动的必经程序。</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（二）上述用地竞买保证金到账截止时间为</w:t>
      </w:r>
      <w:r w:rsidR="00B06B38" w:rsidRPr="00B06B38">
        <w:rPr>
          <w:rFonts w:ascii="仿宋" w:eastAsia="仿宋" w:hAnsi="仿宋" w:cs="Times New Roman" w:hint="eastAsia"/>
          <w:kern w:val="2"/>
          <w:sz w:val="32"/>
          <w:szCs w:val="32"/>
          <w:u w:val="single"/>
        </w:rPr>
        <w:t>2022年0</w:t>
      </w:r>
      <w:r w:rsidR="00705B72">
        <w:rPr>
          <w:rFonts w:ascii="仿宋" w:eastAsia="仿宋" w:hAnsi="仿宋" w:cs="Times New Roman" w:hint="eastAsia"/>
          <w:kern w:val="2"/>
          <w:sz w:val="32"/>
          <w:szCs w:val="32"/>
          <w:u w:val="single"/>
        </w:rPr>
        <w:t>6</w:t>
      </w:r>
      <w:r w:rsidR="00B06B38" w:rsidRPr="00B06B38">
        <w:rPr>
          <w:rFonts w:ascii="仿宋" w:eastAsia="仿宋" w:hAnsi="仿宋" w:cs="Times New Roman" w:hint="eastAsia"/>
          <w:kern w:val="2"/>
          <w:sz w:val="32"/>
          <w:szCs w:val="32"/>
          <w:u w:val="single"/>
        </w:rPr>
        <w:t>月</w:t>
      </w:r>
      <w:r w:rsidR="00705B72">
        <w:rPr>
          <w:rFonts w:ascii="仿宋" w:eastAsia="仿宋" w:hAnsi="仿宋" w:cs="Times New Roman" w:hint="eastAsia"/>
          <w:kern w:val="2"/>
          <w:sz w:val="32"/>
          <w:szCs w:val="32"/>
          <w:u w:val="single"/>
        </w:rPr>
        <w:t>16</w:t>
      </w:r>
      <w:r w:rsidR="00B06B38" w:rsidRPr="00B06B38">
        <w:rPr>
          <w:rFonts w:ascii="仿宋" w:eastAsia="仿宋" w:hAnsi="仿宋" w:cs="Times New Roman" w:hint="eastAsia"/>
          <w:kern w:val="2"/>
          <w:sz w:val="32"/>
          <w:szCs w:val="32"/>
          <w:u w:val="single"/>
        </w:rPr>
        <w:t>日9时</w:t>
      </w:r>
      <w:r w:rsidRPr="00B06B38">
        <w:rPr>
          <w:rFonts w:ascii="仿宋" w:eastAsia="仿宋" w:hAnsi="仿宋" w:cs="Times New Roman" w:hint="eastAsia"/>
          <w:kern w:val="2"/>
          <w:sz w:val="32"/>
          <w:szCs w:val="32"/>
        </w:rPr>
        <w:t>整。</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（三）竞买人应当提前交纳竞买保证金以确保在到账截止时间前到账，超过到账截止时间的保证金，网上挂牌交易系统将不予受理，造成的损失由竞买人自行承担。</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竞买保证金开户单位：惠州市公共资源交易中心大亚湾分中心</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开户银行：1、中国银行惠州大亚湾支行；2、中国工商银行惠州大亚湾支行；3、中国农业银行惠州大亚湾支行；4、惠州农商银行大亚湾支行；5、中国建设银行股份有限公司惠州大亚湾支行；6、招商银行惠州大亚湾支行；7、交通银行惠州大亚湾支行。</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账   号：网上挂牌交易随机产生子账号。</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九、网上挂牌程序</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（一）公布网上挂牌信息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我中心将有关宗地的位置、面积、用途、使用年期、起始价及增价幅度等予以公布。 有意竞买者可登陆网上挂牌交易系统网站(https://www.hzgtjy.com/)查询。</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（二）网上挂牌竞价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lastRenderedPageBreak/>
        <w:t xml:space="preserve">1、网上挂牌交易从网上挂牌起始时间起开始接受报价。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2、办理好数字证书、足额交付竞买保证金并经网上挂牌交易系统确认的竞买人通过网上挂牌交易系统进行报价。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3、网上挂牌交易系统对符合规定的报价予以确认，并更新显示当前报价。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4、网上挂牌交易系统继续接受新的报价。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（三）网上挂牌截止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网上挂牌截止由网上挂牌交易系统自动确定。在公告规定的网上挂牌截止时间，网上挂牌交易系统将显示最高报价，并询问竞买人是否愿意继续竞价。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1、网上挂牌交易系统将在网上挂牌截止时间自动确定网上挂牌截止。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2、网上挂牌交易系统显示最高报价，并询问竞买人是否继续竞价。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3、有竞买人表示继续竞价的，即网上挂牌截止时有两个或两个以上竞买人要求报价的情形，网上挂牌交易自动进入网上限时竞价程序。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4、经网上挂牌交易询问完毕后，没有竞买人表示愿意继续竞价的，网上挂牌交易按下列规定确定网上挂牌结果：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（1）、最高报价高于或等于起始价的，网上挂牌交易系统显示网上挂牌成交，最高报价的出价人为竞得人。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（2）、无人应价的，网上挂牌交易系统显示网上挂牌不成交。</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（四）网上限时竞价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lastRenderedPageBreak/>
        <w:t>1、经网上挂牌交易系统询问完毕后，有竞买人愿意参加网上限时竞价的，网上挂牌交易系统开始第一次5分钟倒计时的限时竞价，竞买人应严格按照报价规则参加限时竞价。如在5分钟内的任一时点有新的报价，网上挂牌交易即从此时点起再顺延一个5分钟，供竞买人作新一轮竞价，并按此方式不断顺延下去。</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2、5分钟限时竞价内没有新的报价，网上挂牌交易系统将自动关闭报价通道，当前最高报价为最终报价，网上挂牌交易系统确认最高报价者为竞得人。</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3、在网上限时竞价中无人报价的，以网上挂牌截止时出价最高者为竞得人。</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（五）签订《成交确认书》</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1、网上挂牌交易结束后，竞得人应当自行下载打印《竞价结果通知书》并到我中心签订《国有建设用地使用权网上挂牌成交确认书》，竞得人拒绝签订《成交确认书》也不能对抗网上挂牌成交结果的法律效力。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2、竞得人应当在网上挂牌交易结果公布后的5个工作日内持下列有关纸质材料与本中心签订《成交确认书》，材料清单如下：</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（1）《竞买申请书》（加盖公章）。</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（2）《竞价结果通知书》。</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（3）《竞买保证金到账通知书》。</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（4）竞买保证金转帐凭证复印件。</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（5）申请竞买人有效的《营业执照》复印件（加盖公</w:t>
      </w:r>
      <w:r w:rsidRPr="00B06B38">
        <w:rPr>
          <w:rFonts w:ascii="仿宋" w:eastAsia="仿宋" w:hAnsi="仿宋" w:cs="Times New Roman" w:hint="eastAsia"/>
          <w:kern w:val="2"/>
          <w:sz w:val="32"/>
          <w:szCs w:val="32"/>
        </w:rPr>
        <w:lastRenderedPageBreak/>
        <w:t>章）。</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（6）法定代表人身份证复印件（加盖公章）。</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（7）授权他人代理的授权委托书及代理人身份证复印件（核对原件）。</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（8）联合竞买协议（联合竞买的提供）。</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（9）其他应提交的文件。</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竞买人如需保存上述竞买报名资料应自留备份，本中心不予退还。</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联合竞买协议要约定联合各方的权利和义务。必须明确表达参与联合竞买的各方、参与竞买的代表人、联合各方的出资比例和签订《转让合同》时的受让人。</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上述文件中，申请书必须用中文书写，其他文件可以使用其它语言，但必须附中文译本，所有文件的解释以中文译本为准。</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（六）签订《转让合同》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lastRenderedPageBreak/>
        <w:t xml:space="preserve">转让方与竞得人依据转让公告、交易须知、挂牌文件、《成交确认书》的约定签订《转让合同》。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（七）网上挂牌结果公布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我中心将在本次挂牌转让活动结束后10个工作日内，在本系统公布本次挂牌转让结果。</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十、报价规则</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（一）本次网上挂牌以增价方式进行报价，每次加价幅度不得小于本须知规定的增价幅度。</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（二）竞买人的首次报价不低于起始价，此后的竞买人报价须高于报价当时的最新网上挂牌价格，并以增价幅度的整数倍加价。</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（三）竞买人通过网上挂牌交易提交的报价一经报出，不得撤回。</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（四）在报价期间，竞买人可多次报价。</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（五）在报价期内，竞买人必须进行一次有效报价，才能参加网上限时竞价。</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（六）竞买人报价有下列情形之一的，为无效报价：</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1、报价未在网上挂牌期限内收到的。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2、报价因竞买人网络故障未在网上挂牌报价期限内收到的。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3、报价与竞买申请文件不符的。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4、报价不符合报价规则的。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5、报价低于网上挂牌起始价的。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6、报价不符合网上挂牌公告、须知及相关交易文件规</w:t>
      </w:r>
      <w:r w:rsidRPr="00B06B38">
        <w:rPr>
          <w:rFonts w:ascii="仿宋" w:eastAsia="仿宋" w:hAnsi="仿宋" w:cs="Times New Roman" w:hint="eastAsia"/>
          <w:kern w:val="2"/>
          <w:sz w:val="32"/>
          <w:szCs w:val="32"/>
        </w:rPr>
        <w:lastRenderedPageBreak/>
        <w:t>定的其他情形。</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十一、注意事项</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一）在竞买申请之前，申请人须详细阅读本次网上挂牌转让公告、本须知及相关信息和交易条件，如有疑问可以在网上挂牌活动开始日前向本中心咨询，申请人亦可自行到现场踏勘网上挂牌转让地块。申请一经受理确认后，即视为竞买人对网上挂牌转让公告、须知、相关交易文件及地块现状无异议并全部接受，并对有关承诺承担法律责任。</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（二）本次国有建设用地使用权网上挂牌转让按照价高者得的原则确定竞得人。</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（三）确定竞得人后，竞得人持《竞价结果通知书》以及参加本宗地网上挂牌交易的所有资料到本中心办理相关成交确认手续。</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《国有建设用地使用权网上挂牌成交确认书》对挂牌人和竞得人具有法律效力，挂牌人改变网上挂牌结果的，或者竞得人放弃竞得宗地的，应当承担法律责任。</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（四）未竞得人交纳的竞买保证金，可在网上挂牌活动结束后 5 个工作日内向我中心申请退还，不计利息。</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（五）竞得人签订《国有建设用地使用权网上挂牌成交确认书》之日起5个工作日内竞得人须与转让方签订《转让合同》。</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（六）为避免网络延迟问题，竞买人尽量避免在网上挂牌截止前最后几秒钟才出价，以防止网上挂牌交易无法及</w:t>
      </w:r>
      <w:r w:rsidRPr="00B06B38">
        <w:rPr>
          <w:rFonts w:ascii="仿宋" w:eastAsia="仿宋" w:hAnsi="仿宋" w:cs="Times New Roman" w:hint="eastAsia"/>
          <w:kern w:val="2"/>
          <w:sz w:val="32"/>
          <w:szCs w:val="32"/>
        </w:rPr>
        <w:lastRenderedPageBreak/>
        <w:t>时接收到报价的情况发生。</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（七）有下列情形之一的，将暂停、中止或终止网上挂牌交易活动：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1、网上挂牌交易系统受到网络恶意入侵的。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2、因网上挂牌交易系统遭受破坏或发生电力、网络故障等不可抗力的非交易中心因素，导致网上挂牌交易系统不能正常运行的。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3、网上挂牌交易委托人根据有关规定要求暂停、中止或终止网上挂牌交易活动的。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4、涉及土地或矿业权纠纷，不能及时解决的。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5、司法机关要求暂停、中止或终止网上挂牌交易活动的。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6、国土资源部门、交易中心认为应当暂停、中止或终止网上挂牌交易活动的其他情形。</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（八）竞得人有下列行为之一的，视为违约，本中心可取消竞得人资格，保证金不予退还,并由有关部门依法处理;造成损失的，竞得人还应依法承担赔偿责任：</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1、采取行贿、恶意串通等非法手段竞得的。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2、竞得人以其他非法手段竞得的。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3、竞得人逾期或拒绝签订《成交确认书》的。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4、竞得人逾期或拒绝签订《转让合同》的。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5、不按本须知规定提供有关纸质文件材料，或提供虚假文件材料、隐瞒重要事实，引起交易纠纷的。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6、构成违约责任的其他行为。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lastRenderedPageBreak/>
        <w:t>（九）本中心认为需要对本次网上挂牌公告事项作出修改、补充时，于网上挂牌交易截止日5日前按有关规定作出修改补充。</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申请人应当及时关注土地的网上挂牌交易信息。本中心发出的修改、补充公告，与本网上挂牌交易须知、公告及相关交易文件具有同等效力。若与本网上挂牌转让须知、公告及相关交易文件有矛盾时，以日期在后者为准。</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（十）本须知及公告涉及的时间期限，以网上挂牌交易系统服务器的时间为准。</w:t>
      </w:r>
    </w:p>
    <w:p w:rsidR="004358AB" w:rsidRPr="00B06B38" w:rsidRDefault="005B5CC6" w:rsidP="00091A09">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（十一）本中心对本须知有解释权。</w:t>
      </w:r>
    </w:p>
    <w:sectPr w:rsidR="004358AB" w:rsidRPr="00B06B38"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创艺简标宋">
    <w:panose1 w:val="00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00E8F"/>
    <w:rsid w:val="00091A09"/>
    <w:rsid w:val="000E1912"/>
    <w:rsid w:val="001B6C6F"/>
    <w:rsid w:val="001C62E8"/>
    <w:rsid w:val="002100F8"/>
    <w:rsid w:val="00323B43"/>
    <w:rsid w:val="003A62A8"/>
    <w:rsid w:val="003D37D8"/>
    <w:rsid w:val="00425CE0"/>
    <w:rsid w:val="00426133"/>
    <w:rsid w:val="004358AB"/>
    <w:rsid w:val="005312B0"/>
    <w:rsid w:val="005B5CC6"/>
    <w:rsid w:val="00692B87"/>
    <w:rsid w:val="00705B72"/>
    <w:rsid w:val="008B7726"/>
    <w:rsid w:val="00A94A82"/>
    <w:rsid w:val="00AA3296"/>
    <w:rsid w:val="00B06B38"/>
    <w:rsid w:val="00BB76F3"/>
    <w:rsid w:val="00BE1C6B"/>
    <w:rsid w:val="00CC12A7"/>
    <w:rsid w:val="00D31D50"/>
    <w:rsid w:val="00D91A72"/>
    <w:rsid w:val="00E02B91"/>
    <w:rsid w:val="00E876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5CC6"/>
    <w:rPr>
      <w:b/>
      <w:bCs/>
    </w:rPr>
  </w:style>
  <w:style w:type="paragraph" w:styleId="a4">
    <w:name w:val="Normal (Web)"/>
    <w:basedOn w:val="a"/>
    <w:uiPriority w:val="99"/>
    <w:semiHidden/>
    <w:unhideWhenUsed/>
    <w:rsid w:val="005B5CC6"/>
    <w:pPr>
      <w:adjustRightInd/>
      <w:snapToGrid/>
      <w:spacing w:after="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68237442">
      <w:bodyDiv w:val="1"/>
      <w:marLeft w:val="0"/>
      <w:marRight w:val="0"/>
      <w:marTop w:val="0"/>
      <w:marBottom w:val="0"/>
      <w:divBdr>
        <w:top w:val="none" w:sz="0" w:space="0" w:color="auto"/>
        <w:left w:val="none" w:sz="0" w:space="0" w:color="auto"/>
        <w:bottom w:val="none" w:sz="0" w:space="0" w:color="auto"/>
        <w:right w:val="none" w:sz="0" w:space="0" w:color="auto"/>
      </w:divBdr>
      <w:divsChild>
        <w:div w:id="39598678">
          <w:marLeft w:val="0"/>
          <w:marRight w:val="0"/>
          <w:marTop w:val="0"/>
          <w:marBottom w:val="0"/>
          <w:divBdr>
            <w:top w:val="none" w:sz="0" w:space="0" w:color="auto"/>
            <w:left w:val="none" w:sz="0" w:space="0" w:color="auto"/>
            <w:bottom w:val="none" w:sz="0" w:space="0" w:color="auto"/>
            <w:right w:val="none" w:sz="0" w:space="0" w:color="auto"/>
          </w:divBdr>
          <w:divsChild>
            <w:div w:id="21341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0237">
      <w:bodyDiv w:val="1"/>
      <w:marLeft w:val="0"/>
      <w:marRight w:val="0"/>
      <w:marTop w:val="0"/>
      <w:marBottom w:val="0"/>
      <w:divBdr>
        <w:top w:val="none" w:sz="0" w:space="0" w:color="auto"/>
        <w:left w:val="none" w:sz="0" w:space="0" w:color="auto"/>
        <w:bottom w:val="none" w:sz="0" w:space="0" w:color="auto"/>
        <w:right w:val="none" w:sz="0" w:space="0" w:color="auto"/>
      </w:divBdr>
      <w:divsChild>
        <w:div w:id="788284718">
          <w:marLeft w:val="0"/>
          <w:marRight w:val="0"/>
          <w:marTop w:val="0"/>
          <w:marBottom w:val="0"/>
          <w:divBdr>
            <w:top w:val="none" w:sz="0" w:space="0" w:color="auto"/>
            <w:left w:val="none" w:sz="0" w:space="0" w:color="auto"/>
            <w:bottom w:val="none" w:sz="0" w:space="0" w:color="auto"/>
            <w:right w:val="none" w:sz="0" w:space="0" w:color="auto"/>
          </w:divBdr>
          <w:divsChild>
            <w:div w:id="5512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1087">
      <w:bodyDiv w:val="1"/>
      <w:marLeft w:val="0"/>
      <w:marRight w:val="0"/>
      <w:marTop w:val="0"/>
      <w:marBottom w:val="0"/>
      <w:divBdr>
        <w:top w:val="none" w:sz="0" w:space="0" w:color="auto"/>
        <w:left w:val="none" w:sz="0" w:space="0" w:color="auto"/>
        <w:bottom w:val="none" w:sz="0" w:space="0" w:color="auto"/>
        <w:right w:val="none" w:sz="0" w:space="0" w:color="auto"/>
      </w:divBdr>
      <w:divsChild>
        <w:div w:id="460417115">
          <w:marLeft w:val="0"/>
          <w:marRight w:val="0"/>
          <w:marTop w:val="0"/>
          <w:marBottom w:val="0"/>
          <w:divBdr>
            <w:top w:val="none" w:sz="0" w:space="0" w:color="auto"/>
            <w:left w:val="none" w:sz="0" w:space="0" w:color="auto"/>
            <w:bottom w:val="none" w:sz="0" w:space="0" w:color="auto"/>
            <w:right w:val="none" w:sz="0" w:space="0" w:color="auto"/>
          </w:divBdr>
          <w:divsChild>
            <w:div w:id="14765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19214">
      <w:bodyDiv w:val="1"/>
      <w:marLeft w:val="0"/>
      <w:marRight w:val="0"/>
      <w:marTop w:val="0"/>
      <w:marBottom w:val="0"/>
      <w:divBdr>
        <w:top w:val="none" w:sz="0" w:space="0" w:color="auto"/>
        <w:left w:val="none" w:sz="0" w:space="0" w:color="auto"/>
        <w:bottom w:val="none" w:sz="0" w:space="0" w:color="auto"/>
        <w:right w:val="none" w:sz="0" w:space="0" w:color="auto"/>
      </w:divBdr>
      <w:divsChild>
        <w:div w:id="1042174128">
          <w:marLeft w:val="0"/>
          <w:marRight w:val="0"/>
          <w:marTop w:val="0"/>
          <w:marBottom w:val="0"/>
          <w:divBdr>
            <w:top w:val="none" w:sz="0" w:space="0" w:color="auto"/>
            <w:left w:val="none" w:sz="0" w:space="0" w:color="auto"/>
            <w:bottom w:val="none" w:sz="0" w:space="0" w:color="auto"/>
            <w:right w:val="none" w:sz="0" w:space="0" w:color="auto"/>
          </w:divBdr>
          <w:divsChild>
            <w:div w:id="8850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18054">
      <w:bodyDiv w:val="1"/>
      <w:marLeft w:val="0"/>
      <w:marRight w:val="0"/>
      <w:marTop w:val="0"/>
      <w:marBottom w:val="0"/>
      <w:divBdr>
        <w:top w:val="none" w:sz="0" w:space="0" w:color="auto"/>
        <w:left w:val="none" w:sz="0" w:space="0" w:color="auto"/>
        <w:bottom w:val="none" w:sz="0" w:space="0" w:color="auto"/>
        <w:right w:val="none" w:sz="0" w:space="0" w:color="auto"/>
      </w:divBdr>
      <w:divsChild>
        <w:div w:id="587619809">
          <w:marLeft w:val="0"/>
          <w:marRight w:val="0"/>
          <w:marTop w:val="0"/>
          <w:marBottom w:val="0"/>
          <w:divBdr>
            <w:top w:val="none" w:sz="0" w:space="0" w:color="auto"/>
            <w:left w:val="none" w:sz="0" w:space="0" w:color="auto"/>
            <w:bottom w:val="none" w:sz="0" w:space="0" w:color="auto"/>
            <w:right w:val="none" w:sz="0" w:space="0" w:color="auto"/>
          </w:divBdr>
          <w:divsChild>
            <w:div w:id="4094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6805">
      <w:bodyDiv w:val="1"/>
      <w:marLeft w:val="0"/>
      <w:marRight w:val="0"/>
      <w:marTop w:val="0"/>
      <w:marBottom w:val="0"/>
      <w:divBdr>
        <w:top w:val="none" w:sz="0" w:space="0" w:color="auto"/>
        <w:left w:val="none" w:sz="0" w:space="0" w:color="auto"/>
        <w:bottom w:val="none" w:sz="0" w:space="0" w:color="auto"/>
        <w:right w:val="none" w:sz="0" w:space="0" w:color="auto"/>
      </w:divBdr>
      <w:divsChild>
        <w:div w:id="230313477">
          <w:marLeft w:val="0"/>
          <w:marRight w:val="0"/>
          <w:marTop w:val="0"/>
          <w:marBottom w:val="0"/>
          <w:divBdr>
            <w:top w:val="none" w:sz="0" w:space="0" w:color="auto"/>
            <w:left w:val="none" w:sz="0" w:space="0" w:color="auto"/>
            <w:bottom w:val="none" w:sz="0" w:space="0" w:color="auto"/>
            <w:right w:val="none" w:sz="0" w:space="0" w:color="auto"/>
          </w:divBdr>
          <w:divsChild>
            <w:div w:id="408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5940">
      <w:bodyDiv w:val="1"/>
      <w:marLeft w:val="0"/>
      <w:marRight w:val="0"/>
      <w:marTop w:val="0"/>
      <w:marBottom w:val="0"/>
      <w:divBdr>
        <w:top w:val="none" w:sz="0" w:space="0" w:color="auto"/>
        <w:left w:val="none" w:sz="0" w:space="0" w:color="auto"/>
        <w:bottom w:val="none" w:sz="0" w:space="0" w:color="auto"/>
        <w:right w:val="none" w:sz="0" w:space="0" w:color="auto"/>
      </w:divBdr>
      <w:divsChild>
        <w:div w:id="826936972">
          <w:marLeft w:val="0"/>
          <w:marRight w:val="0"/>
          <w:marTop w:val="0"/>
          <w:marBottom w:val="0"/>
          <w:divBdr>
            <w:top w:val="none" w:sz="0" w:space="0" w:color="auto"/>
            <w:left w:val="none" w:sz="0" w:space="0" w:color="auto"/>
            <w:bottom w:val="none" w:sz="0" w:space="0" w:color="auto"/>
            <w:right w:val="none" w:sz="0" w:space="0" w:color="auto"/>
          </w:divBdr>
          <w:divsChild>
            <w:div w:id="2618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sChild>
        <w:div w:id="1397434956">
          <w:marLeft w:val="0"/>
          <w:marRight w:val="0"/>
          <w:marTop w:val="0"/>
          <w:marBottom w:val="0"/>
          <w:divBdr>
            <w:top w:val="none" w:sz="0" w:space="0" w:color="auto"/>
            <w:left w:val="none" w:sz="0" w:space="0" w:color="auto"/>
            <w:bottom w:val="none" w:sz="0" w:space="0" w:color="auto"/>
            <w:right w:val="none" w:sz="0" w:space="0" w:color="auto"/>
          </w:divBdr>
          <w:divsChild>
            <w:div w:id="321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580">
      <w:bodyDiv w:val="1"/>
      <w:marLeft w:val="0"/>
      <w:marRight w:val="0"/>
      <w:marTop w:val="0"/>
      <w:marBottom w:val="0"/>
      <w:divBdr>
        <w:top w:val="none" w:sz="0" w:space="0" w:color="auto"/>
        <w:left w:val="none" w:sz="0" w:space="0" w:color="auto"/>
        <w:bottom w:val="none" w:sz="0" w:space="0" w:color="auto"/>
        <w:right w:val="none" w:sz="0" w:space="0" w:color="auto"/>
      </w:divBdr>
      <w:divsChild>
        <w:div w:id="2036416312">
          <w:marLeft w:val="0"/>
          <w:marRight w:val="0"/>
          <w:marTop w:val="0"/>
          <w:marBottom w:val="0"/>
          <w:divBdr>
            <w:top w:val="none" w:sz="0" w:space="0" w:color="auto"/>
            <w:left w:val="none" w:sz="0" w:space="0" w:color="auto"/>
            <w:bottom w:val="none" w:sz="0" w:space="0" w:color="auto"/>
            <w:right w:val="none" w:sz="0" w:space="0" w:color="auto"/>
          </w:divBdr>
          <w:divsChild>
            <w:div w:id="15738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1905">
      <w:bodyDiv w:val="1"/>
      <w:marLeft w:val="0"/>
      <w:marRight w:val="0"/>
      <w:marTop w:val="0"/>
      <w:marBottom w:val="0"/>
      <w:divBdr>
        <w:top w:val="none" w:sz="0" w:space="0" w:color="auto"/>
        <w:left w:val="none" w:sz="0" w:space="0" w:color="auto"/>
        <w:bottom w:val="none" w:sz="0" w:space="0" w:color="auto"/>
        <w:right w:val="none" w:sz="0" w:space="0" w:color="auto"/>
      </w:divBdr>
      <w:divsChild>
        <w:div w:id="1336803747">
          <w:marLeft w:val="0"/>
          <w:marRight w:val="0"/>
          <w:marTop w:val="0"/>
          <w:marBottom w:val="0"/>
          <w:divBdr>
            <w:top w:val="none" w:sz="0" w:space="0" w:color="auto"/>
            <w:left w:val="none" w:sz="0" w:space="0" w:color="auto"/>
            <w:bottom w:val="none" w:sz="0" w:space="0" w:color="auto"/>
            <w:right w:val="none" w:sz="0" w:space="0" w:color="auto"/>
          </w:divBdr>
          <w:divsChild>
            <w:div w:id="11530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9232">
      <w:bodyDiv w:val="1"/>
      <w:marLeft w:val="0"/>
      <w:marRight w:val="0"/>
      <w:marTop w:val="0"/>
      <w:marBottom w:val="0"/>
      <w:divBdr>
        <w:top w:val="none" w:sz="0" w:space="0" w:color="auto"/>
        <w:left w:val="none" w:sz="0" w:space="0" w:color="auto"/>
        <w:bottom w:val="none" w:sz="0" w:space="0" w:color="auto"/>
        <w:right w:val="none" w:sz="0" w:space="0" w:color="auto"/>
      </w:divBdr>
      <w:divsChild>
        <w:div w:id="938173022">
          <w:marLeft w:val="0"/>
          <w:marRight w:val="0"/>
          <w:marTop w:val="0"/>
          <w:marBottom w:val="0"/>
          <w:divBdr>
            <w:top w:val="none" w:sz="0" w:space="0" w:color="auto"/>
            <w:left w:val="none" w:sz="0" w:space="0" w:color="auto"/>
            <w:bottom w:val="none" w:sz="0" w:space="0" w:color="auto"/>
            <w:right w:val="none" w:sz="0" w:space="0" w:color="auto"/>
          </w:divBdr>
          <w:divsChild>
            <w:div w:id="15969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39681">
      <w:bodyDiv w:val="1"/>
      <w:marLeft w:val="0"/>
      <w:marRight w:val="0"/>
      <w:marTop w:val="0"/>
      <w:marBottom w:val="0"/>
      <w:divBdr>
        <w:top w:val="none" w:sz="0" w:space="0" w:color="auto"/>
        <w:left w:val="none" w:sz="0" w:space="0" w:color="auto"/>
        <w:bottom w:val="none" w:sz="0" w:space="0" w:color="auto"/>
        <w:right w:val="none" w:sz="0" w:space="0" w:color="auto"/>
      </w:divBdr>
      <w:divsChild>
        <w:div w:id="349140009">
          <w:marLeft w:val="0"/>
          <w:marRight w:val="0"/>
          <w:marTop w:val="0"/>
          <w:marBottom w:val="0"/>
          <w:divBdr>
            <w:top w:val="none" w:sz="0" w:space="0" w:color="auto"/>
            <w:left w:val="none" w:sz="0" w:space="0" w:color="auto"/>
            <w:bottom w:val="none" w:sz="0" w:space="0" w:color="auto"/>
            <w:right w:val="none" w:sz="0" w:space="0" w:color="auto"/>
          </w:divBdr>
          <w:divsChild>
            <w:div w:id="6806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856457">
      <w:bodyDiv w:val="1"/>
      <w:marLeft w:val="0"/>
      <w:marRight w:val="0"/>
      <w:marTop w:val="0"/>
      <w:marBottom w:val="0"/>
      <w:divBdr>
        <w:top w:val="none" w:sz="0" w:space="0" w:color="auto"/>
        <w:left w:val="none" w:sz="0" w:space="0" w:color="auto"/>
        <w:bottom w:val="none" w:sz="0" w:space="0" w:color="auto"/>
        <w:right w:val="none" w:sz="0" w:space="0" w:color="auto"/>
      </w:divBdr>
      <w:divsChild>
        <w:div w:id="689139969">
          <w:marLeft w:val="0"/>
          <w:marRight w:val="0"/>
          <w:marTop w:val="0"/>
          <w:marBottom w:val="0"/>
          <w:divBdr>
            <w:top w:val="none" w:sz="0" w:space="0" w:color="auto"/>
            <w:left w:val="none" w:sz="0" w:space="0" w:color="auto"/>
            <w:bottom w:val="none" w:sz="0" w:space="0" w:color="auto"/>
            <w:right w:val="none" w:sz="0" w:space="0" w:color="auto"/>
          </w:divBdr>
          <w:divsChild>
            <w:div w:id="6089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1420">
      <w:bodyDiv w:val="1"/>
      <w:marLeft w:val="0"/>
      <w:marRight w:val="0"/>
      <w:marTop w:val="0"/>
      <w:marBottom w:val="0"/>
      <w:divBdr>
        <w:top w:val="none" w:sz="0" w:space="0" w:color="auto"/>
        <w:left w:val="none" w:sz="0" w:space="0" w:color="auto"/>
        <w:bottom w:val="none" w:sz="0" w:space="0" w:color="auto"/>
        <w:right w:val="none" w:sz="0" w:space="0" w:color="auto"/>
      </w:divBdr>
      <w:divsChild>
        <w:div w:id="1105730658">
          <w:marLeft w:val="0"/>
          <w:marRight w:val="0"/>
          <w:marTop w:val="0"/>
          <w:marBottom w:val="0"/>
          <w:divBdr>
            <w:top w:val="none" w:sz="0" w:space="0" w:color="auto"/>
            <w:left w:val="none" w:sz="0" w:space="0" w:color="auto"/>
            <w:bottom w:val="none" w:sz="0" w:space="0" w:color="auto"/>
            <w:right w:val="none" w:sz="0" w:space="0" w:color="auto"/>
          </w:divBdr>
          <w:divsChild>
            <w:div w:id="16413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14</cp:revision>
  <dcterms:created xsi:type="dcterms:W3CDTF">2008-09-11T17:20:00Z</dcterms:created>
  <dcterms:modified xsi:type="dcterms:W3CDTF">2022-05-11T01:14:00Z</dcterms:modified>
</cp:coreProperties>
</file>